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image4.jpg" ContentType="image/jpeg"/>
  <Override PartName="/word/media/image5.jpg" ContentType="image/jpeg"/>
  <Override PartName="/word/media/image6.jpg" ContentType="image/jpeg"/>
  <Override PartName="/word/media/image7.jpg" ContentType="image/jpeg"/>
  <Override PartName="/word/media/image1.jpg" ContentType="image/jpeg"/>
  <Override PartName="/word/media/image3.jpg" ContentType="image/jpeg"/>
  <Override PartName="/word/media/image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NSync:</w:t>
      </w:r>
      <w:r>
        <w:t xml:space="preserve"> </w:t>
      </w:r>
      <w:r>
        <w:t xml:space="preserve">Boy</w:t>
      </w:r>
      <w:r>
        <w:t xml:space="preserve"> </w:t>
      </w:r>
      <w:r>
        <w:t xml:space="preserve">bands</w:t>
      </w:r>
      <w:r>
        <w:t xml:space="preserve"> </w:t>
      </w:r>
      <w:r>
        <w:t xml:space="preserve">meet</w:t>
      </w:r>
      <w:r>
        <w:t xml:space="preserve"> </w:t>
      </w:r>
      <w:r>
        <w:t xml:space="preserve">nitrogen</w:t>
      </w:r>
    </w:p>
    <w:p>
      <w:pPr>
        <w:pStyle w:val="Author"/>
      </w:pPr>
      <w:r>
        <w:rPr>
          <w:vertAlign w:val="superscript"/>
        </w:rPr>
        <w:t xml:space="preserve">*</w:t>
      </w:r>
      <w:r>
        <w:t xml:space="preserve"> </w:t>
      </w:r>
      <w:r>
        <w:t xml:space="preserve">*corresponding</w:t>
      </w:r>
      <w:r>
        <w:t xml:space="preserve"> </w:t>
      </w:r>
      <w:r>
        <w:t xml:space="preserve">author:</w:t>
      </w:r>
      <w:r>
        <w:t xml:space="preserve"> </w:t>
      </w:r>
      <w:hyperlink r:id="rId20">
        <w:r>
          <w:rPr>
            <w:rStyle w:val="Hyperlink"/>
          </w:rPr>
          <w:t xml:space="preserve">hollister.jeff@epa.gov*</w:t>
        </w:r>
      </w:hyperlink>
    </w:p>
    <w:p>
      <w:pPr>
        <w:pStyle w:val="Author"/>
      </w:pPr>
      <w:r>
        <w:t xml:space="preserve">Hollister.</w:t>
      </w:r>
      <w:r>
        <w:t xml:space="preserve"> </w:t>
      </w:r>
      <w:r>
        <w:t xml:space="preserve">J.</w:t>
      </w:r>
      <w:r>
        <w:t xml:space="preserve"> </w:t>
      </w:r>
      <w:r>
        <w:t xml:space="preserve">W.</w:t>
      </w:r>
      <w:r>
        <w:t xml:space="preserve"> </w:t>
      </w:r>
      <w:r>
        <w:rPr>
          <w:vertAlign w:val="superscript"/>
        </w:rPr>
        <w:t xml:space="preserve">*</w:t>
      </w:r>
      <w:r>
        <w:t xml:space="preserve"> </w:t>
      </w:r>
      <w:r>
        <w:rPr>
          <w:vertAlign w:val="superscript"/>
          <w:i/>
        </w:rPr>
        <w:t xml:space="preserve">1</w:t>
      </w:r>
      <w:r>
        <w:t xml:space="preserve">,</w:t>
      </w:r>
      <w:r>
        <w:t xml:space="preserve"> </w:t>
      </w:r>
      <w:r>
        <w:t xml:space="preserve">Kellogg,</w:t>
      </w:r>
      <w:r>
        <w:t xml:space="preserve"> </w:t>
      </w:r>
      <w:r>
        <w:t xml:space="preserve">D.</w:t>
      </w:r>
      <w:r>
        <w:t xml:space="preserve"> </w:t>
      </w:r>
      <w:r>
        <w:t xml:space="preserve">Q.</w:t>
      </w:r>
      <w:r>
        <w:t xml:space="preserve"> </w:t>
      </w:r>
      <w:r>
        <w:rPr>
          <w:vertAlign w:val="superscript"/>
          <w:i/>
        </w:rPr>
        <w:t xml:space="preserve">2</w:t>
      </w:r>
      <w:r>
        <w:t xml:space="preserve">,</w:t>
      </w:r>
      <w:r>
        <w:t xml:space="preserve"> </w:t>
      </w:r>
      <w:r>
        <w:t xml:space="preserve">Arnold,</w:t>
      </w:r>
      <w:r>
        <w:t xml:space="preserve"> </w:t>
      </w:r>
      <w:r>
        <w:t xml:space="preserve">C.</w:t>
      </w:r>
      <w:r>
        <w:rPr>
          <w:vertAlign w:val="superscript"/>
          <w:i/>
        </w:rPr>
        <w:t xml:space="preserve">3</w:t>
      </w:r>
      <w:r>
        <w:t xml:space="preserve">,</w:t>
      </w:r>
      <w:r>
        <w:t xml:space="preserve"> </w:t>
      </w:r>
      <w:r>
        <w:t xml:space="preserve">Gold,</w:t>
      </w:r>
      <w:r>
        <w:t xml:space="preserve"> </w:t>
      </w:r>
      <w:r>
        <w:t xml:space="preserve">A.</w:t>
      </w:r>
      <w:r>
        <w:rPr>
          <w:vertAlign w:val="superscript"/>
          <w:i/>
        </w:rPr>
        <w:t xml:space="preserve">2</w:t>
      </w:r>
      <w:r>
        <w:t xml:space="preserve">,</w:t>
      </w:r>
      <w:r>
        <w:t xml:space="preserve"> </w:t>
      </w:r>
      <w:r>
        <w:t xml:space="preserve">Wilson,</w:t>
      </w:r>
      <w:r>
        <w:t xml:space="preserve"> </w:t>
      </w:r>
      <w:r>
        <w:t xml:space="preserve">E.</w:t>
      </w:r>
      <w:r>
        <w:t xml:space="preserve"> </w:t>
      </w:r>
      <w:r>
        <w:t xml:space="preserve">H.</w:t>
      </w:r>
      <w:r>
        <w:rPr>
          <w:vertAlign w:val="superscript"/>
          <w:i/>
        </w:rPr>
        <w:t xml:space="preserve">3</w:t>
      </w:r>
      <w:r>
        <w:t xml:space="preserve">,</w:t>
      </w:r>
      <w:r>
        <w:t xml:space="preserve"> </w:t>
      </w:r>
      <w:r>
        <w:t xml:space="preserve">Chadwick,</w:t>
      </w:r>
      <w:r>
        <w:t xml:space="preserve"> </w:t>
      </w:r>
      <w:r>
        <w:t xml:space="preserve">C.</w:t>
      </w:r>
      <w:r>
        <w:rPr>
          <w:vertAlign w:val="superscript"/>
          <w:i/>
        </w:rPr>
        <w:t xml:space="preserve">3</w:t>
      </w:r>
      <w:r>
        <w:t xml:space="preserve">,</w:t>
      </w:r>
      <w:r>
        <w:t xml:space="preserve"> </w:t>
      </w:r>
      <w:r>
        <w:t xml:space="preserve">Dickson,</w:t>
      </w:r>
      <w:r>
        <w:t xml:space="preserve"> </w:t>
      </w:r>
      <w:r>
        <w:t xml:space="preserve">D.</w:t>
      </w:r>
      <w:r>
        <w:rPr>
          <w:vertAlign w:val="superscript"/>
          <w:i/>
        </w:rPr>
        <w:t xml:space="preserve">3</w:t>
      </w:r>
      <w:r>
        <w:t xml:space="preserve">,</w:t>
      </w:r>
      <w:r>
        <w:t xml:space="preserve"> </w:t>
      </w:r>
      <w:r>
        <w:t xml:space="preserve">Forshay,</w:t>
      </w:r>
      <w:r>
        <w:t xml:space="preserve"> </w:t>
      </w:r>
      <w:r>
        <w:t xml:space="preserve">K.</w:t>
      </w:r>
      <w:r>
        <w:t xml:space="preserve"> </w:t>
      </w:r>
      <w:r>
        <w:t xml:space="preserve">J.</w:t>
      </w:r>
      <w:r>
        <w:rPr>
          <w:vertAlign w:val="superscript"/>
          <w:i/>
        </w:rPr>
        <w:t xml:space="preserve">4</w:t>
      </w:r>
    </w:p>
    <w:p>
      <w:pPr>
        <w:pStyle w:val="Author"/>
      </w:pPr>
      <w:r>
        <w:rPr>
          <w:vertAlign w:val="superscript"/>
          <w:i/>
        </w:rPr>
        <w:t xml:space="preserve">1</w:t>
      </w:r>
      <w:r>
        <w:t xml:space="preserve"> </w:t>
      </w:r>
      <w:r>
        <w:t xml:space="preserve">US</w:t>
      </w:r>
      <w:r>
        <w:t xml:space="preserve"> </w:t>
      </w:r>
      <w:r>
        <w:t xml:space="preserve">Environmental</w:t>
      </w:r>
      <w:r>
        <w:t xml:space="preserve"> </w:t>
      </w:r>
      <w:r>
        <w:t xml:space="preserve">Protection</w:t>
      </w:r>
      <w:r>
        <w:t xml:space="preserve"> </w:t>
      </w:r>
      <w:r>
        <w:t xml:space="preserve">Agency,</w:t>
      </w:r>
      <w:r>
        <w:t xml:space="preserve"> </w:t>
      </w:r>
      <w:r>
        <w:t xml:space="preserve">Office</w:t>
      </w:r>
      <w:r>
        <w:t xml:space="preserve"> </w:t>
      </w:r>
      <w:r>
        <w:t xml:space="preserve">Of</w:t>
      </w:r>
      <w:r>
        <w:t xml:space="preserve"> </w:t>
      </w:r>
      <w:r>
        <w:t xml:space="preserve">Research</w:t>
      </w:r>
      <w:r>
        <w:t xml:space="preserve"> </w:t>
      </w:r>
      <w:r>
        <w:t xml:space="preserve">and</w:t>
      </w:r>
      <w:r>
        <w:t xml:space="preserve"> </w:t>
      </w:r>
      <w:r>
        <w:t xml:space="preserve">Development,</w:t>
      </w:r>
      <w:r>
        <w:t xml:space="preserve"> </w:t>
      </w:r>
      <w:r>
        <w:t xml:space="preserve">Atlantic</w:t>
      </w:r>
      <w:r>
        <w:t xml:space="preserve"> </w:t>
      </w:r>
      <w:r>
        <w:t xml:space="preserve">Coastal</w:t>
      </w:r>
      <w:r>
        <w:t xml:space="preserve"> </w:t>
      </w:r>
      <w:r>
        <w:t xml:space="preserve">Environmental</w:t>
      </w:r>
      <w:r>
        <w:t xml:space="preserve"> </w:t>
      </w:r>
      <w:r>
        <w:t xml:space="preserve">Sciences</w:t>
      </w:r>
      <w:r>
        <w:t xml:space="preserve"> </w:t>
      </w:r>
      <w:r>
        <w:t xml:space="preserve">Division,</w:t>
      </w:r>
      <w:r>
        <w:t xml:space="preserve"> </w:t>
      </w:r>
      <w:r>
        <w:t xml:space="preserve">Narragansett,</w:t>
      </w:r>
      <w:r>
        <w:t xml:space="preserve"> </w:t>
      </w:r>
      <w:r>
        <w:t xml:space="preserve">RI</w:t>
      </w:r>
      <w:r>
        <w:t xml:space="preserve"> </w:t>
      </w:r>
      <w:r>
        <w:t xml:space="preserve">02882</w:t>
      </w:r>
    </w:p>
    <w:p>
      <w:pPr>
        <w:pStyle w:val="Author"/>
      </w:pPr>
      <w:r>
        <w:rPr>
          <w:vertAlign w:val="superscript"/>
          <w:i/>
        </w:rPr>
        <w:t xml:space="preserve">2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Rhode</w:t>
      </w:r>
      <w:r>
        <w:t xml:space="preserve"> </w:t>
      </w:r>
      <w:r>
        <w:t xml:space="preserve">Island,</w:t>
      </w:r>
      <w:r>
        <w:t xml:space="preserve"> </w:t>
      </w:r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Natural</w:t>
      </w:r>
      <w:r>
        <w:t xml:space="preserve"> </w:t>
      </w:r>
      <w:r>
        <w:t xml:space="preserve">Resources</w:t>
      </w:r>
      <w:r>
        <w:t xml:space="preserve"> </w:t>
      </w:r>
      <w:r>
        <w:t xml:space="preserve">Science,</w:t>
      </w:r>
      <w:r>
        <w:t xml:space="preserve"> </w:t>
      </w:r>
      <w:r>
        <w:t xml:space="preserve">Kingston,</w:t>
      </w:r>
      <w:r>
        <w:t xml:space="preserve"> </w:t>
      </w:r>
      <w:r>
        <w:t xml:space="preserve">RI</w:t>
      </w:r>
      <w:r>
        <w:t xml:space="preserve"> </w:t>
      </w:r>
      <w:r>
        <w:t xml:space="preserve">02881</w:t>
      </w:r>
    </w:p>
    <w:p>
      <w:pPr>
        <w:pStyle w:val="Author"/>
      </w:pPr>
      <w:r>
        <w:rPr>
          <w:vertAlign w:val="superscript"/>
          <w:i/>
        </w:rPr>
        <w:t xml:space="preserve">3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Connecticut,</w:t>
      </w:r>
      <w:r>
        <w:t xml:space="preserve"> </w:t>
      </w:r>
      <w:r>
        <w:t xml:space="preserve">Center</w:t>
      </w:r>
      <w:r>
        <w:t xml:space="preserve"> </w:t>
      </w:r>
      <w:r>
        <w:t xml:space="preserve">for</w:t>
      </w:r>
      <w:r>
        <w:t xml:space="preserve"> </w:t>
      </w:r>
      <w:r>
        <w:t xml:space="preserve">Land</w:t>
      </w:r>
      <w:r>
        <w:t xml:space="preserve"> </w:t>
      </w:r>
      <w:r>
        <w:t xml:space="preserve">Use</w:t>
      </w:r>
      <w:r>
        <w:t xml:space="preserve"> </w:t>
      </w:r>
      <w:r>
        <w:t xml:space="preserve">Education</w:t>
      </w:r>
      <w:r>
        <w:t xml:space="preserve"> </w:t>
      </w:r>
      <w:r>
        <w:t xml:space="preserve">and</w:t>
      </w:r>
      <w:r>
        <w:t xml:space="preserve"> </w:t>
      </w:r>
      <w:r>
        <w:t xml:space="preserve">Research,</w:t>
      </w:r>
      <w:r>
        <w:t xml:space="preserve"> </w:t>
      </w:r>
      <w:r>
        <w:t xml:space="preserve">Haddam,</w:t>
      </w:r>
      <w:r>
        <w:t xml:space="preserve"> </w:t>
      </w:r>
      <w:r>
        <w:t xml:space="preserve">CT</w:t>
      </w:r>
      <w:r>
        <w:t xml:space="preserve"> </w:t>
      </w:r>
      <w:r>
        <w:t xml:space="preserve">06438</w:t>
      </w:r>
    </w:p>
    <w:p>
      <w:pPr>
        <w:pStyle w:val="Author"/>
      </w:pPr>
      <w:r>
        <w:rPr>
          <w:vertAlign w:val="superscript"/>
          <w:i/>
        </w:rPr>
        <w:t xml:space="preserve">4</w:t>
      </w:r>
      <w:r>
        <w:t xml:space="preserve"> </w:t>
      </w:r>
      <w:r>
        <w:t xml:space="preserve">US</w:t>
      </w:r>
      <w:r>
        <w:t xml:space="preserve"> </w:t>
      </w:r>
      <w:r>
        <w:t xml:space="preserve">Environmental</w:t>
      </w:r>
      <w:r>
        <w:t xml:space="preserve"> </w:t>
      </w:r>
      <w:r>
        <w:t xml:space="preserve">Protection</w:t>
      </w:r>
      <w:r>
        <w:t xml:space="preserve"> </w:t>
      </w:r>
      <w:r>
        <w:t xml:space="preserve">Agency,</w:t>
      </w:r>
      <w:r>
        <w:t xml:space="preserve"> </w:t>
      </w:r>
      <w:r>
        <w:t xml:space="preserve">Office</w:t>
      </w:r>
      <w:r>
        <w:t xml:space="preserve"> </w:t>
      </w:r>
      <w:r>
        <w:t xml:space="preserve">Of</w:t>
      </w:r>
      <w:r>
        <w:t xml:space="preserve"> </w:t>
      </w:r>
      <w:r>
        <w:t xml:space="preserve">Research</w:t>
      </w:r>
      <w:r>
        <w:t xml:space="preserve"> </w:t>
      </w:r>
      <w:r>
        <w:t xml:space="preserve">and</w:t>
      </w:r>
      <w:r>
        <w:t xml:space="preserve"> </w:t>
      </w:r>
      <w:r>
        <w:t xml:space="preserve">Development,</w:t>
      </w:r>
      <w:r>
        <w:t xml:space="preserve"> </w:t>
      </w:r>
      <w:r>
        <w:t xml:space="preserve">Groundwater</w:t>
      </w:r>
      <w:r>
        <w:t xml:space="preserve"> </w:t>
      </w:r>
      <w:r>
        <w:t xml:space="preserve">Characterization</w:t>
      </w:r>
      <w:r>
        <w:t xml:space="preserve"> </w:t>
      </w:r>
      <w:r>
        <w:t xml:space="preserve">and</w:t>
      </w:r>
      <w:r>
        <w:t xml:space="preserve"> </w:t>
      </w:r>
      <w:r>
        <w:t xml:space="preserve">Remediation</w:t>
      </w:r>
      <w:r>
        <w:t xml:space="preserve"> </w:t>
      </w:r>
      <w:r>
        <w:t xml:space="preserve">Division,</w:t>
      </w:r>
      <w:r>
        <w:t xml:space="preserve"> </w:t>
      </w:r>
      <w:r>
        <w:t xml:space="preserve">Ada,</w:t>
      </w:r>
      <w:r>
        <w:t xml:space="preserve"> </w:t>
      </w:r>
      <w:r>
        <w:t xml:space="preserve">OK</w:t>
      </w:r>
      <w:r>
        <w:t xml:space="preserve"> </w:t>
      </w:r>
      <w:r>
        <w:t xml:space="preserve">74820</w:t>
      </w:r>
    </w:p>
    <w:p>
      <w:pPr>
        <w:pStyle w:val="Compact"/>
        <w:pStyle w:val="Abstract"/>
      </w:pPr>
      <w:r>
        <w:t xml:space="preserve">Great</w:t>
      </w:r>
      <w:r>
        <w:t xml:space="preserve"> </w:t>
      </w:r>
      <w:r>
        <w:t xml:space="preserve">abstract</w:t>
      </w:r>
      <w:r>
        <w:t xml:space="preserve"> </w:t>
      </w:r>
      <w:r>
        <w:t xml:space="preserve">goes</w:t>
      </w:r>
      <w:r>
        <w:t xml:space="preserve"> </w:t>
      </w:r>
      <w:r>
        <w:t xml:space="preserve">here</w:t>
      </w:r>
    </w:p>
    <w:p>
      <w:pPr>
        <w:pStyle w:val="Heading1"/>
      </w:pPr>
      <w:bookmarkStart w:id="21" w:name="introduction"/>
      <w:r>
        <w:t xml:space="preserve">Introduction</w:t>
      </w:r>
      <w:bookmarkEnd w:id="21"/>
    </w:p>
    <w:p>
      <w:pPr>
        <w:pStyle w:val="FirstParagraph"/>
      </w:pPr>
      <w:r>
        <w:t xml:space="preserve">Intro goes here and citations look like</w:t>
      </w:r>
      <w:r>
        <w:t xml:space="preserve"> </w:t>
      </w:r>
      <w:r>
        <w:t xml:space="preserve">(Vitousek et al. 1997, Filippelli 2008, Finlay et al. 2013)</w:t>
      </w:r>
      <w:r>
        <w:t xml:space="preserve">.</w:t>
      </w:r>
    </w:p>
    <w:p>
      <w:pPr>
        <w:pStyle w:val="Heading1"/>
      </w:pPr>
      <w:bookmarkStart w:id="22" w:name="methods"/>
      <w:r>
        <w:t xml:space="preserve">Methods</w:t>
      </w:r>
      <w:bookmarkEnd w:id="22"/>
    </w:p>
    <w:p>
      <w:pPr>
        <w:pStyle w:val="FirstParagraph"/>
      </w:pPr>
      <w:r>
        <w:t xml:space="preserve">Methods are what belong here and an inline fig citation looks like (Figure 1) and to reference that fig, assuming it is an image file inside the ../figures folder would look this way</w:t>
      </w:r>
      <w:r>
        <w:t xml:space="preserve"> </w:t>
      </w:r>
      <w:r>
        <w:t xml:space="preserve">(Bivand and Lewin-Koh 2014)</w:t>
      </w:r>
      <w:r>
        <w:t xml:space="preserve">.</w:t>
      </w:r>
    </w:p>
    <w:p>
      <w:pPr>
        <w:pStyle w:val="CaptionedFigure"/>
      </w:pPr>
      <w:r>
        <w:t xml:space="preserve">Figure 1: Map of URI Watershed Watch lake and reservoir sampling sites</w:t>
      </w:r>
    </w:p>
    <w:p>
      <w:pPr>
        <w:pStyle w:val="ImageCaption"/>
      </w:pPr>
      <w:r>
        <w:t xml:space="preserve">Figure 1: Map of URI Watershed Watch lake and reservoir sampling sites</w:t>
      </w:r>
    </w:p>
    <w:p>
      <w:pPr>
        <w:pStyle w:val="BodyText"/>
      </w:pPr>
      <w:r>
        <w:t xml:space="preserve">Figure 1: Map of URI Watershed Watch lake and reservoir sampling sites</w:t>
      </w:r>
    </w:p>
    <w:p>
      <w:pPr>
        <w:pStyle w:val="BodyText"/>
      </w:pPr>
      <w:r>
        <w:t xml:space="preserve">If you want some inline R code, do this 150.</w:t>
      </w:r>
    </w:p>
    <w:p>
      <w:pPr>
        <w:pStyle w:val="Heading1"/>
      </w:pPr>
      <w:bookmarkStart w:id="23" w:name="results"/>
      <w:r>
        <w:t xml:space="preserve">Results</w:t>
      </w:r>
      <w:bookmarkEnd w:id="23"/>
    </w:p>
    <w:p>
      <w:pPr>
        <w:pStyle w:val="FirstParagraph"/>
      </w:pPr>
      <w:r>
        <w:t xml:space="preserve">Results go here and if you want a table caption, do this (Table 1). And then this in an example code chunk kicing out a pander table.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Sepal.Length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Sepal.Width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Petal.Length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Petal.Width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Species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5.1</w:t>
            </w:r>
          </w:p>
        </w:tc>
        <w:tc>
          <w:p>
            <w:pPr>
              <w:pStyle w:val="Compact"/>
              <w:jc w:val="center"/>
            </w:pPr>
            <w:r>
              <w:t xml:space="preserve">3.5</w:t>
            </w:r>
          </w:p>
        </w:tc>
        <w:tc>
          <w:p>
            <w:pPr>
              <w:pStyle w:val="Compact"/>
              <w:jc w:val="center"/>
            </w:pPr>
            <w:r>
              <w:t xml:space="preserve">1.4</w:t>
            </w:r>
          </w:p>
        </w:tc>
        <w:tc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p>
            <w:pPr>
              <w:pStyle w:val="Compact"/>
              <w:jc w:val="center"/>
            </w:pPr>
            <w:r>
              <w:t xml:space="preserve">setosa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4.9</w:t>
            </w:r>
          </w:p>
        </w:tc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1.4</w:t>
            </w:r>
          </w:p>
        </w:tc>
        <w:tc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p>
            <w:pPr>
              <w:pStyle w:val="Compact"/>
              <w:jc w:val="center"/>
            </w:pPr>
            <w:r>
              <w:t xml:space="preserve">setosa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4.7</w:t>
            </w:r>
          </w:p>
        </w:tc>
        <w:tc>
          <w:p>
            <w:pPr>
              <w:pStyle w:val="Compact"/>
              <w:jc w:val="center"/>
            </w:pPr>
            <w:r>
              <w:t xml:space="preserve">3.2</w:t>
            </w:r>
          </w:p>
        </w:tc>
        <w:tc>
          <w:p>
            <w:pPr>
              <w:pStyle w:val="Compact"/>
              <w:jc w:val="center"/>
            </w:pPr>
            <w:r>
              <w:t xml:space="preserve">1.3</w:t>
            </w:r>
          </w:p>
        </w:tc>
        <w:tc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p>
            <w:pPr>
              <w:pStyle w:val="Compact"/>
              <w:jc w:val="center"/>
            </w:pPr>
            <w:r>
              <w:t xml:space="preserve">setosa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4.6</w:t>
            </w:r>
          </w:p>
        </w:tc>
        <w:tc>
          <w:p>
            <w:pPr>
              <w:pStyle w:val="Compact"/>
              <w:jc w:val="center"/>
            </w:pPr>
            <w:r>
              <w:t xml:space="preserve">3.1</w:t>
            </w:r>
          </w:p>
        </w:tc>
        <w:tc>
          <w:p>
            <w:pPr>
              <w:pStyle w:val="Compact"/>
              <w:jc w:val="center"/>
            </w:pPr>
            <w:r>
              <w:t xml:space="preserve">1.5</w:t>
            </w:r>
          </w:p>
        </w:tc>
        <w:tc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p>
            <w:pPr>
              <w:pStyle w:val="Compact"/>
              <w:jc w:val="center"/>
            </w:pPr>
            <w:r>
              <w:t xml:space="preserve">setosa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3.6</w:t>
            </w:r>
          </w:p>
        </w:tc>
        <w:tc>
          <w:p>
            <w:pPr>
              <w:pStyle w:val="Compact"/>
              <w:jc w:val="center"/>
            </w:pPr>
            <w:r>
              <w:t xml:space="preserve">1.4</w:t>
            </w:r>
          </w:p>
        </w:tc>
        <w:tc>
          <w:p>
            <w:pPr>
              <w:pStyle w:val="Compact"/>
              <w:jc w:val="center"/>
            </w:pPr>
            <w:r>
              <w:t xml:space="preserve">0.2</w:t>
            </w:r>
          </w:p>
        </w:tc>
        <w:tc>
          <w:p>
            <w:pPr>
              <w:pStyle w:val="Compact"/>
              <w:jc w:val="center"/>
            </w:pPr>
            <w:r>
              <w:t xml:space="preserve">setosa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5.4</w:t>
            </w:r>
          </w:p>
        </w:tc>
        <w:tc>
          <w:p>
            <w:pPr>
              <w:pStyle w:val="Compact"/>
              <w:jc w:val="center"/>
            </w:pPr>
            <w:r>
              <w:t xml:space="preserve">3.9</w:t>
            </w:r>
          </w:p>
        </w:tc>
        <w:tc>
          <w:p>
            <w:pPr>
              <w:pStyle w:val="Compact"/>
              <w:jc w:val="center"/>
            </w:pPr>
            <w:r>
              <w:t xml:space="preserve">1.7</w:t>
            </w:r>
          </w:p>
        </w:tc>
        <w:tc>
          <w:p>
            <w:pPr>
              <w:pStyle w:val="Compact"/>
              <w:jc w:val="center"/>
            </w:pPr>
            <w:r>
              <w:t xml:space="preserve">0.4</w:t>
            </w:r>
          </w:p>
        </w:tc>
        <w:tc>
          <w:p>
            <w:pPr>
              <w:pStyle w:val="Compact"/>
              <w:jc w:val="center"/>
            </w:pPr>
            <w:r>
              <w:t xml:space="preserve">setosa</w:t>
            </w:r>
          </w:p>
        </w:tc>
      </w:tr>
    </w:tbl>
    <w:p>
      <w:pPr>
        <w:pStyle w:val="BodyText"/>
      </w:pPr>
      <w:r>
        <w:t xml:space="preserve">Table 1: Summary statistics for URI Watershed Watch data from 1993 to 2016.</w:t>
      </w:r>
    </w:p>
    <w:p>
      <w:pPr>
        <w:pStyle w:val="Heading1"/>
      </w:pPr>
      <w:bookmarkStart w:id="24" w:name="discussion-and-conclusions"/>
      <w:r>
        <w:t xml:space="preserve">Discussion and conclusions</w:t>
      </w:r>
      <w:bookmarkEnd w:id="24"/>
    </w:p>
    <w:p>
      <w:pPr>
        <w:pStyle w:val="FirstParagraph"/>
      </w:pPr>
      <w:r>
        <w:t xml:space="preserve">Really great conclusions and discussion thereof goes here!</w:t>
      </w:r>
    </w:p>
    <w:p>
      <w:pPr>
        <w:pStyle w:val="Heading1"/>
      </w:pPr>
      <w:bookmarkStart w:id="25" w:name="bibliography"/>
      <w:r>
        <w:t xml:space="preserve">Bibliography</w:t>
      </w:r>
      <w:bookmarkEnd w:id="25"/>
    </w:p>
    <w:bookmarkStart w:id="30" w:name="refs"/>
    <w:bookmarkStart w:id="26" w:name="ref-bivand2014maptools"/>
    <w:p>
      <w:pPr>
        <w:pStyle w:val="Bibliography"/>
      </w:pPr>
      <w:r>
        <w:t xml:space="preserve">Bivand, R., and N. Lewin-Koh. 2014. Maptools: Tools for reading and handling spatial objects.</w:t>
      </w:r>
    </w:p>
    <w:bookmarkEnd w:id="26"/>
    <w:bookmarkStart w:id="27" w:name="ref-filippelli2008global"/>
    <w:p>
      <w:pPr>
        <w:pStyle w:val="Bibliography"/>
      </w:pPr>
      <w:r>
        <w:t xml:space="preserve">Filippelli, G. M. 2008. The global phosphorus cycle: Past, present, and future. Elements 4:89–95.</w:t>
      </w:r>
    </w:p>
    <w:bookmarkEnd w:id="27"/>
    <w:bookmarkStart w:id="28" w:name="ref-finlay2013human"/>
    <w:p>
      <w:pPr>
        <w:pStyle w:val="Bibliography"/>
      </w:pPr>
      <w:r>
        <w:t xml:space="preserve">Finlay, J. C., G. E. Small, and R. W. Sterner. 2013. Human influences on nitrogen removal in lakes. Science 342:247–250.</w:t>
      </w:r>
    </w:p>
    <w:bookmarkEnd w:id="28"/>
    <w:bookmarkStart w:id="29" w:name="ref-vitousek1997human"/>
    <w:p>
      <w:pPr>
        <w:pStyle w:val="Bibliography"/>
      </w:pPr>
      <w:r>
        <w:t xml:space="preserve">Vitousek, P. M., J. D. Aber, R. W. Howarth, G. E. Likens, P. A. Matson, D. W. Schindler, W. H. Schlesinger, and D. G. Tilman. 1997. Human alteration of the global nitrogen cycle: Sources and consequences. Ecological Applications 7:737–750.</w:t>
      </w:r>
    </w:p>
    <w:bookmarkEnd w:id="29"/>
    <w:bookmarkEnd w:id="30"/>
    <w:sectPr w:rsidR="003556B0" w:rsidSect="00047456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77840FB"/>
    <w:multiLevelType w:val="multilevel"/>
    <w:tmpl w:val="C654242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ADA22319"/>
    <w:multiLevelType w:val="multilevel"/>
    <w:tmpl w:val="5F0A6BD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E17F69BA"/>
    <w:multiLevelType w:val="multilevel"/>
    <w:tmpl w:val="DD1650A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EA454B4C"/>
    <w:multiLevelType w:val="multilevel"/>
    <w:tmpl w:val="5598272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2C1AE401"/>
    <w:multiLevelType w:val="multilevel"/>
    <w:tmpl w:val="F5AA21F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74E0188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9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Number 2" w:semiHidden="1" w:unhideWhenUsed="1"/>
    <w:lsdException w:name="List Number 3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441FD5"/>
    <w:pPr>
      <w:keepNext/>
      <w:keepLines/>
      <w:numPr>
        <w:numId w:val="4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441FD5"/>
    <w:pPr>
      <w:keepNext/>
      <w:keepLines/>
      <w:numPr>
        <w:ilvl w:val="1"/>
        <w:numId w:val="4"/>
      </w:numPr>
      <w:spacing w:before="200" w:after="0"/>
      <w:outlineLvl w:val="1"/>
    </w:pPr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441FD5"/>
    <w:pPr>
      <w:keepNext/>
      <w:keepLines/>
      <w:numPr>
        <w:ilvl w:val="2"/>
        <w:numId w:val="4"/>
      </w:numPr>
      <w:spacing w:before="200" w:after="0"/>
      <w:outlineLvl w:val="2"/>
    </w:pPr>
    <w:rPr>
      <w:rFonts w:ascii="Times New Roman" w:eastAsiaTheme="majorEastAsia" w:hAnsi="Times New Roman" w:cstheme="majorBidi"/>
      <w:b/>
      <w:bCs/>
      <w:i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441FD5"/>
    <w:pPr>
      <w:keepNext/>
      <w:keepLines/>
      <w:numPr>
        <w:ilvl w:val="3"/>
        <w:numId w:val="4"/>
      </w:numPr>
      <w:spacing w:before="200" w:after="0"/>
      <w:outlineLvl w:val="3"/>
    </w:pPr>
    <w:rPr>
      <w:rFonts w:ascii="Times New Roman" w:eastAsiaTheme="majorEastAsia" w:hAnsi="Times New Roman" w:cstheme="majorBidi"/>
      <w:bCs/>
      <w:i/>
    </w:rPr>
  </w:style>
  <w:style w:type="paragraph" w:styleId="Heading5">
    <w:name w:val="heading 5"/>
    <w:basedOn w:val="Normal"/>
    <w:next w:val="BodyText"/>
    <w:uiPriority w:val="9"/>
    <w:unhideWhenUsed/>
    <w:qFormat/>
    <w:rsid w:val="00441FD5"/>
    <w:pPr>
      <w:keepNext/>
      <w:keepLines/>
      <w:numPr>
        <w:ilvl w:val="4"/>
        <w:numId w:val="4"/>
      </w:numPr>
      <w:spacing w:before="200" w:after="0"/>
      <w:outlineLvl w:val="4"/>
    </w:pPr>
    <w:rPr>
      <w:rFonts w:ascii="Times New Roman" w:eastAsiaTheme="majorEastAsia" w:hAnsi="Times New Roman" w:cstheme="majorBidi"/>
      <w:iCs/>
    </w:rPr>
  </w:style>
  <w:style w:type="paragraph" w:styleId="Heading6">
    <w:name w:val="heading 6"/>
    <w:basedOn w:val="Normal"/>
    <w:next w:val="BodyText"/>
    <w:uiPriority w:val="9"/>
    <w:unhideWhenUsed/>
    <w:qFormat/>
    <w:rsid w:val="00441FD5"/>
    <w:pPr>
      <w:keepNext/>
      <w:keepLines/>
      <w:numPr>
        <w:ilvl w:val="5"/>
        <w:numId w:val="4"/>
      </w:numPr>
      <w:spacing w:before="200" w:after="0"/>
      <w:outlineLvl w:val="5"/>
    </w:pPr>
    <w:rPr>
      <w:rFonts w:ascii="Times New Roman" w:eastAsiaTheme="majorEastAsia" w:hAnsi="Times New Roman" w:cstheme="majorBidi"/>
      <w:sz w:val="22"/>
    </w:rPr>
  </w:style>
  <w:style w:type="paragraph" w:styleId="Heading7">
    <w:name w:val="heading 7"/>
    <w:basedOn w:val="Normal"/>
    <w:next w:val="Normal"/>
    <w:link w:val="Heading7Char"/>
    <w:rsid w:val="00384D46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rsid w:val="00384D46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384D46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rsid w:val="00BC7A1B"/>
    <w:pPr>
      <w:spacing w:before="180" w:after="180" w:line="360" w:lineRule="auto"/>
    </w:pPr>
  </w:style>
  <w:style w:type="paragraph" w:customStyle="1" w:styleId="FirstParagraph">
    <w:name w:val="First Paragraph"/>
    <w:basedOn w:val="BodyText"/>
    <w:next w:val="BodyText"/>
    <w:qFormat/>
    <w:rsid w:val="00BC7A1B"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441FD5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rsid w:val="006D7CA7"/>
    <w:pPr>
      <w:keepNext/>
      <w:keepLines/>
      <w:pBdr>
        <w:top w:val="single" w:sz="4" w:space="10" w:color="auto"/>
        <w:bottom w:val="single" w:sz="4" w:space="10" w:color="auto"/>
      </w:pBdr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EC51EC"/>
    <w:pPr>
      <w:numPr>
        <w:numId w:val="0"/>
      </w:numPr>
      <w:spacing w:before="240" w:line="259" w:lineRule="auto"/>
      <w:outlineLvl w:val="9"/>
    </w:pPr>
    <w:rPr>
      <w:b w:val="0"/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LineNumber">
    <w:name w:val="line number"/>
    <w:basedOn w:val="DefaultParagraphFont"/>
    <w:semiHidden/>
    <w:unhideWhenUsed/>
    <w:rsid w:val="00047456"/>
  </w:style>
  <w:style w:type="character" w:customStyle="1" w:styleId="Heading7Char">
    <w:name w:val="Heading 7 Char"/>
    <w:basedOn w:val="DefaultParagraphFont"/>
    <w:link w:val="Heading7"/>
    <w:rsid w:val="00384D4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rsid w:val="00384D4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384D4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semiHidden/>
    <w:unhideWhenUsed/>
    <w:rsid w:val="00BC7A1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BC7A1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20" Target="mailto:hollister.jeff@epa.gov*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mailto:hollister.jeff@epa.gov*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5380</Words>
  <Characters>30670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Increasing Productivity Amid Stable Nutrient Regimes in Rhode Island Lakes and Reservoirs</vt:lpstr>
    </vt:vector>
  </TitlesOfParts>
  <Company/>
  <LinksUpToDate>false</LinksUpToDate>
  <CharactersWithSpaces>35979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NSync: Boy bands meet nitrogen</dc:title>
  <dc:creator>* *corresponding author: hollister.jeff@epa.gov*; Hollister. J. W. * 1, Kellogg, D. Q. 2, Arnold, C.3, Gold, A.2, Wilson, E. H.3, Chadwick, C.3, Dickson, D.3, Forshay, K. J.4; 1 US Environmental Protection Agency, Office Of Research and Development, Atlantic Coastal Environmental Sciences Division, Narragansett, RI 02882; 2 University of Rhode Island, Department of Natural Resources Science, Kingston, RI 02881; 3 University of Connecticut, Center for Land Use Education and Research, Haddam, CT 06438; 4 US Environmental Protection Agency, Office Of Research and Development, Groundwater Characterization and Remediation Division, Ada, OK 74820</dc:creator>
  <cp:keywords/>
  <dcterms:created xsi:type="dcterms:W3CDTF">2020-05-20T21:09:46Z</dcterms:created>
  <dcterms:modified xsi:type="dcterms:W3CDTF">2020-05-20T21:09:46Z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Great abstract goes here</vt:lpwstr>
  </property>
  <property fmtid="{D5CDD505-2E9C-101B-9397-08002B2CF9AE}" pid="3" name="bibliography">
    <vt:lpwstr>manuscript.bib</vt:lpwstr>
  </property>
  <property fmtid="{D5CDD505-2E9C-101B-9397-08002B2CF9AE}" pid="4" name="csl">
    <vt:lpwstr>ecology.csl</vt:lpwstr>
  </property>
  <property fmtid="{D5CDD505-2E9C-101B-9397-08002B2CF9AE}" pid="5" name="editor_options">
    <vt:lpwstr/>
  </property>
  <property fmtid="{D5CDD505-2E9C-101B-9397-08002B2CF9AE}" pid="6" name="output">
    <vt:lpwstr/>
  </property>
</Properties>
</file>